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40A1" w14:textId="77777777" w:rsidR="001A6F05" w:rsidRDefault="000F1E2B" w:rsidP="004069F6">
      <w:r>
        <w:rPr>
          <w:noProof/>
          <w:lang w:eastAsia="en-GB"/>
        </w:rPr>
        <w:pict w14:anchorId="5BF9A208">
          <v:shapetype id="_x0000_t32" coordsize="21600,21600" o:spt="32" o:oned="t" path="m,l21600,21600e" filled="f">
            <v:path arrowok="t" fillok="f" o:connecttype="none"/>
            <o:lock v:ext="edit" shapetype="t"/>
          </v:shapetype>
          <v:shape id="_x0000_s1030" type="#_x0000_t32" style="position:absolute;margin-left:188.25pt;margin-top:-24.75pt;width:.8pt;height:548.6pt;z-index:251663360;mso-position-horizontal-relative:margin" o:connectortype="straight" strokeweight="3pt">
            <w10:wrap anchorx="margin"/>
          </v:shape>
        </w:pict>
      </w:r>
      <w:r>
        <w:rPr>
          <w:noProof/>
        </w:rPr>
        <w:pict w14:anchorId="12C9E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New Image" style="position:absolute;margin-left:-43.5pt;margin-top:-30pt;width:219.75pt;height:95.25pt;z-index:-251657216;visibility:visible" wrapcoords="-147 0 -147 21430 21674 21430 21674 0 -147 0">
            <v:imagedata r:id="rId5" o:title="New Image"/>
            <w10:wrap type="tight"/>
          </v:shape>
        </w:pict>
      </w:r>
    </w:p>
    <w:p w14:paraId="17BD51EF" w14:textId="77777777" w:rsidR="001A6F05" w:rsidRPr="00193E99" w:rsidRDefault="001A6F05" w:rsidP="004069F6">
      <w:pPr>
        <w:rPr>
          <w:rFonts w:ascii="Arial" w:hAnsi="Arial" w:cs="Arial"/>
          <w:b/>
          <w:sz w:val="48"/>
          <w:szCs w:val="48"/>
        </w:rPr>
      </w:pPr>
    </w:p>
    <w:p w14:paraId="54FCF199" w14:textId="7E958387" w:rsidR="001A6F05" w:rsidRDefault="001A6F05" w:rsidP="004069F6">
      <w:pPr>
        <w:jc w:val="center"/>
        <w:rPr>
          <w:rFonts w:ascii="Arial" w:hAnsi="Arial" w:cs="Arial"/>
          <w:b/>
          <w:sz w:val="36"/>
          <w:szCs w:val="36"/>
        </w:rPr>
      </w:pPr>
    </w:p>
    <w:p w14:paraId="06CD6822" w14:textId="77777777" w:rsidR="001A6F05" w:rsidRDefault="001A6F05" w:rsidP="004069F6">
      <w:pPr>
        <w:jc w:val="center"/>
        <w:rPr>
          <w:rFonts w:ascii="Arial" w:hAnsi="Arial" w:cs="Arial"/>
          <w:b/>
          <w:sz w:val="36"/>
          <w:szCs w:val="36"/>
        </w:rPr>
      </w:pPr>
    </w:p>
    <w:p w14:paraId="112082E6" w14:textId="77777777" w:rsidR="001A6F05" w:rsidRDefault="000F1E2B" w:rsidP="004069F6">
      <w:pPr>
        <w:jc w:val="center"/>
        <w:rPr>
          <w:rFonts w:ascii="Arial" w:hAnsi="Arial" w:cs="Arial"/>
          <w:b/>
          <w:sz w:val="36"/>
          <w:szCs w:val="36"/>
        </w:rPr>
      </w:pPr>
      <w:r>
        <w:rPr>
          <w:rFonts w:ascii="Arial" w:hAnsi="Arial" w:cs="Arial"/>
          <w:b/>
          <w:noProof/>
          <w:sz w:val="36"/>
          <w:szCs w:val="36"/>
          <w:lang w:eastAsia="en-GB"/>
        </w:rPr>
        <w:pict w14:anchorId="3096CD4B">
          <v:shape id="_x0000_s1031" type="#_x0000_t32" style="position:absolute;left:0;text-align:left;margin-left:-20.25pt;margin-top:18.45pt;width:487.5pt;height:.75pt;flip:y;z-index:251664384" o:connectortype="straight" strokeweight="3pt"/>
        </w:pict>
      </w:r>
    </w:p>
    <w:p w14:paraId="274A5AEB" w14:textId="77777777" w:rsidR="001A6F05" w:rsidRDefault="001A6F05" w:rsidP="004069F6">
      <w:pPr>
        <w:jc w:val="center"/>
        <w:rPr>
          <w:rFonts w:ascii="Arial" w:hAnsi="Arial" w:cs="Arial"/>
          <w:b/>
          <w:sz w:val="36"/>
          <w:szCs w:val="36"/>
        </w:rPr>
      </w:pPr>
    </w:p>
    <w:p w14:paraId="6A8EA709" w14:textId="77777777" w:rsidR="001A6F05" w:rsidRDefault="001A6F05" w:rsidP="004069F6">
      <w:pPr>
        <w:jc w:val="center"/>
        <w:rPr>
          <w:rFonts w:ascii="Arial" w:hAnsi="Arial" w:cs="Arial"/>
          <w:b/>
          <w:sz w:val="36"/>
          <w:szCs w:val="36"/>
        </w:rPr>
      </w:pPr>
    </w:p>
    <w:p w14:paraId="7DAAF0EA" w14:textId="77777777" w:rsidR="001A6F05" w:rsidRDefault="001A6F05" w:rsidP="004069F6">
      <w:pPr>
        <w:jc w:val="center"/>
        <w:rPr>
          <w:rFonts w:ascii="Arial" w:hAnsi="Arial" w:cs="Arial"/>
          <w:b/>
          <w:sz w:val="36"/>
          <w:szCs w:val="36"/>
        </w:rPr>
      </w:pPr>
    </w:p>
    <w:p w14:paraId="21E92963" w14:textId="77777777" w:rsidR="001A6F05" w:rsidRDefault="001A6F05" w:rsidP="004069F6">
      <w:pPr>
        <w:jc w:val="center"/>
        <w:rPr>
          <w:rFonts w:ascii="Arial" w:hAnsi="Arial" w:cs="Arial"/>
          <w:b/>
          <w:sz w:val="36"/>
          <w:szCs w:val="36"/>
        </w:rPr>
      </w:pPr>
    </w:p>
    <w:p w14:paraId="08E56F7E" w14:textId="77777777" w:rsidR="001A6F05" w:rsidRDefault="001A6F05" w:rsidP="004069F6">
      <w:pPr>
        <w:jc w:val="center"/>
        <w:rPr>
          <w:rFonts w:ascii="Arial" w:hAnsi="Arial" w:cs="Arial"/>
          <w:b/>
          <w:sz w:val="36"/>
          <w:szCs w:val="36"/>
        </w:rPr>
      </w:pPr>
    </w:p>
    <w:p w14:paraId="64F2F4E9" w14:textId="77777777" w:rsidR="001A6F05" w:rsidRDefault="001A6F05" w:rsidP="004069F6">
      <w:pPr>
        <w:jc w:val="center"/>
        <w:rPr>
          <w:rFonts w:ascii="Arial" w:hAnsi="Arial" w:cs="Arial"/>
          <w:b/>
          <w:sz w:val="36"/>
          <w:szCs w:val="36"/>
        </w:rPr>
      </w:pPr>
    </w:p>
    <w:p w14:paraId="57AA7B11" w14:textId="74EDD4D1" w:rsidR="001A6F05" w:rsidRDefault="001A6F05" w:rsidP="004069F6">
      <w:pPr>
        <w:jc w:val="right"/>
        <w:rPr>
          <w:rFonts w:ascii="Arial" w:hAnsi="Arial" w:cs="Arial"/>
          <w:b/>
          <w:iCs/>
          <w:sz w:val="52"/>
          <w:szCs w:val="52"/>
        </w:rPr>
      </w:pPr>
      <w:r>
        <w:rPr>
          <w:rFonts w:ascii="Arial" w:hAnsi="Arial" w:cs="Arial"/>
          <w:b/>
          <w:iCs/>
          <w:sz w:val="52"/>
          <w:szCs w:val="52"/>
        </w:rPr>
        <w:t>PROVIDER</w:t>
      </w:r>
    </w:p>
    <w:p w14:paraId="2E7EB71E" w14:textId="7290336F" w:rsidR="001A6F05" w:rsidRDefault="001A6F05" w:rsidP="004069F6">
      <w:pPr>
        <w:jc w:val="right"/>
        <w:rPr>
          <w:rFonts w:ascii="Arial" w:hAnsi="Arial" w:cs="Arial"/>
          <w:b/>
          <w:iCs/>
          <w:sz w:val="52"/>
          <w:szCs w:val="52"/>
        </w:rPr>
      </w:pPr>
      <w:r>
        <w:rPr>
          <w:rFonts w:ascii="Arial" w:hAnsi="Arial" w:cs="Arial"/>
          <w:b/>
          <w:iCs/>
          <w:sz w:val="52"/>
          <w:szCs w:val="52"/>
        </w:rPr>
        <w:t>ACCESS</w:t>
      </w:r>
    </w:p>
    <w:p w14:paraId="60F5CDF5" w14:textId="5C6BB855" w:rsidR="002512F4" w:rsidRPr="001A6F05" w:rsidRDefault="044ACAED" w:rsidP="3FA975A6">
      <w:pPr>
        <w:jc w:val="right"/>
        <w:rPr>
          <w:rFonts w:ascii="Arial" w:hAnsi="Arial" w:cs="Arial"/>
          <w:b/>
          <w:bCs/>
          <w:sz w:val="52"/>
          <w:szCs w:val="52"/>
        </w:rPr>
      </w:pPr>
      <w:r w:rsidRPr="3FA975A6">
        <w:rPr>
          <w:rFonts w:ascii="Arial" w:hAnsi="Arial" w:cs="Arial"/>
          <w:b/>
          <w:bCs/>
          <w:sz w:val="52"/>
          <w:szCs w:val="52"/>
        </w:rPr>
        <w:t>GUIDELINES</w:t>
      </w:r>
    </w:p>
    <w:p w14:paraId="56FCDA46" w14:textId="1E6E5B20" w:rsidR="002512F4" w:rsidRPr="001A6F05" w:rsidRDefault="002512F4" w:rsidP="3FA975A6">
      <w:pPr>
        <w:jc w:val="right"/>
        <w:rPr>
          <w:rFonts w:ascii="Arial" w:hAnsi="Arial" w:cs="Arial"/>
          <w:b/>
          <w:bCs/>
          <w:sz w:val="52"/>
          <w:szCs w:val="52"/>
        </w:rPr>
      </w:pPr>
    </w:p>
    <w:p w14:paraId="40BC8D6D" w14:textId="2E88E9EB" w:rsidR="002512F4" w:rsidRPr="001A6F05" w:rsidRDefault="1294114E" w:rsidP="3FA975A6">
      <w:pPr>
        <w:jc w:val="right"/>
      </w:pPr>
      <w:r>
        <w:t xml:space="preserve">Gateway College </w:t>
      </w:r>
    </w:p>
    <w:p w14:paraId="77E36DA2" w14:textId="5DE6FF83" w:rsidR="002512F4" w:rsidRPr="001A6F05" w:rsidRDefault="1294114E" w:rsidP="3FA975A6">
      <w:pPr>
        <w:jc w:val="right"/>
      </w:pPr>
      <w:r>
        <w:t>Colin Grundy Drive</w:t>
      </w:r>
    </w:p>
    <w:p w14:paraId="6065EA7B" w14:textId="0AB828F4" w:rsidR="002512F4" w:rsidRPr="001A6F05" w:rsidRDefault="1294114E" w:rsidP="3FA975A6">
      <w:pPr>
        <w:jc w:val="right"/>
      </w:pPr>
      <w:r>
        <w:t>Leicester</w:t>
      </w:r>
    </w:p>
    <w:p w14:paraId="0E5610FA" w14:textId="666C807E" w:rsidR="002512F4" w:rsidRPr="001A6F05" w:rsidRDefault="1294114E" w:rsidP="3FA975A6">
      <w:pPr>
        <w:jc w:val="right"/>
      </w:pPr>
      <w:r>
        <w:t>LE5 1GA</w:t>
      </w:r>
    </w:p>
    <w:p w14:paraId="59476FC6" w14:textId="309DF763" w:rsidR="002512F4" w:rsidRPr="001A6F05" w:rsidRDefault="1294114E" w:rsidP="3FA975A6">
      <w:pPr>
        <w:jc w:val="right"/>
      </w:pPr>
      <w:r>
        <w:t xml:space="preserve">Phone number: </w:t>
      </w:r>
      <w:r w:rsidR="3537BF0C">
        <w:t>0116 274 4500</w:t>
      </w:r>
    </w:p>
    <w:p w14:paraId="4AD56F0A" w14:textId="0E246A75" w:rsidR="002512F4" w:rsidRPr="001A6F05" w:rsidRDefault="002512F4" w:rsidP="3FA975A6">
      <w:pPr>
        <w:jc w:val="right"/>
      </w:pPr>
    </w:p>
    <w:p w14:paraId="087CF34E" w14:textId="45D96FBC" w:rsidR="002512F4" w:rsidRPr="001A6F05" w:rsidRDefault="002512F4" w:rsidP="3FA975A6">
      <w:pPr>
        <w:jc w:val="right"/>
      </w:pPr>
    </w:p>
    <w:p w14:paraId="5D653E9F" w14:textId="65DE3A5C" w:rsidR="002512F4" w:rsidRPr="001A6F05" w:rsidRDefault="3537BF0C" w:rsidP="3FA975A6">
      <w:pPr>
        <w:jc w:val="right"/>
      </w:pPr>
      <w:r>
        <w:t>Reviewed: July 2025</w:t>
      </w:r>
    </w:p>
    <w:p w14:paraId="1265C144" w14:textId="7AF8D8A5" w:rsidR="002512F4" w:rsidRPr="000F1E2B" w:rsidRDefault="3537BF0C" w:rsidP="000F1E2B">
      <w:pPr>
        <w:jc w:val="right"/>
      </w:pPr>
      <w:r>
        <w:t>Next Review due: July 2026</w:t>
      </w:r>
    </w:p>
    <w:p w14:paraId="42A0CE38" w14:textId="0D386131" w:rsidR="002512F4" w:rsidRPr="001A6F05" w:rsidRDefault="141FF69D" w:rsidP="000F1E2B">
      <w:pPr>
        <w:jc w:val="center"/>
        <w:rPr>
          <w:b/>
          <w:bCs/>
          <w:sz w:val="24"/>
          <w:szCs w:val="24"/>
        </w:rPr>
      </w:pPr>
      <w:r w:rsidRPr="3FA975A6">
        <w:rPr>
          <w:b/>
          <w:bCs/>
          <w:sz w:val="24"/>
          <w:szCs w:val="24"/>
        </w:rPr>
        <w:lastRenderedPageBreak/>
        <w:t>Gateway College Provider Access Policy</w:t>
      </w:r>
      <w:r w:rsidR="790280CD" w:rsidRPr="3FA975A6">
        <w:rPr>
          <w:b/>
          <w:bCs/>
          <w:sz w:val="24"/>
          <w:szCs w:val="24"/>
        </w:rPr>
        <w:t xml:space="preserve"> </w:t>
      </w:r>
    </w:p>
    <w:p w14:paraId="2E141695" w14:textId="77777777" w:rsidR="002512F4" w:rsidRPr="00E82BDD" w:rsidRDefault="002512F4" w:rsidP="002512F4">
      <w:pPr>
        <w:pStyle w:val="Default"/>
        <w:rPr>
          <w:rFonts w:ascii="Century Gothic" w:hAnsi="Century Gothic"/>
          <w:b/>
          <w:bCs/>
        </w:rPr>
      </w:pPr>
    </w:p>
    <w:p w14:paraId="53B31C9B" w14:textId="77777777" w:rsidR="002512F4" w:rsidRPr="00E82BDD" w:rsidRDefault="002512F4" w:rsidP="002512F4">
      <w:pPr>
        <w:pStyle w:val="Default"/>
        <w:rPr>
          <w:rFonts w:ascii="Century Gothic" w:hAnsi="Century Gothic"/>
          <w:b/>
          <w:bCs/>
        </w:rPr>
      </w:pPr>
    </w:p>
    <w:p w14:paraId="195D5548" w14:textId="77777777" w:rsidR="002512F4" w:rsidRPr="00C91BC7" w:rsidRDefault="002512F4" w:rsidP="002512F4">
      <w:pPr>
        <w:pStyle w:val="Default"/>
        <w:rPr>
          <w:rFonts w:ascii="Century Gothic" w:hAnsi="Century Gothic"/>
          <w:color w:val="auto"/>
        </w:rPr>
      </w:pPr>
      <w:r w:rsidRPr="00C91BC7">
        <w:rPr>
          <w:rFonts w:ascii="Century Gothic" w:hAnsi="Century Gothic"/>
          <w:b/>
          <w:bCs/>
          <w:color w:val="auto"/>
        </w:rPr>
        <w:t xml:space="preserve">Introduction </w:t>
      </w:r>
    </w:p>
    <w:p w14:paraId="2C9D5F02" w14:textId="5CF81B3F" w:rsidR="002512F4" w:rsidRPr="00C91BC7" w:rsidRDefault="002512F4" w:rsidP="002512F4">
      <w:pPr>
        <w:pStyle w:val="Default"/>
        <w:rPr>
          <w:rFonts w:ascii="Century Gothic" w:hAnsi="Century Gothic"/>
          <w:color w:val="auto"/>
        </w:rPr>
      </w:pPr>
      <w:r w:rsidRPr="00C91BC7">
        <w:rPr>
          <w:rFonts w:ascii="Century Gothic" w:hAnsi="Century Gothic"/>
          <w:color w:val="auto"/>
        </w:rPr>
        <w:t xml:space="preserve">This policy statement sets out the </w:t>
      </w:r>
      <w:r w:rsidR="004E08DB" w:rsidRPr="00C91BC7">
        <w:rPr>
          <w:rFonts w:ascii="Century Gothic" w:hAnsi="Century Gothic"/>
          <w:color w:val="auto"/>
        </w:rPr>
        <w:t>College’s</w:t>
      </w:r>
      <w:r w:rsidRPr="00C91BC7">
        <w:rPr>
          <w:rFonts w:ascii="Century Gothic" w:hAnsi="Century Gothic"/>
          <w:color w:val="auto"/>
        </w:rPr>
        <w:t xml:space="preserve"> arrangements for managing the access of providers to </w:t>
      </w:r>
      <w:r w:rsidR="00287F91" w:rsidRPr="00C91BC7">
        <w:rPr>
          <w:rFonts w:ascii="Century Gothic" w:hAnsi="Century Gothic"/>
          <w:color w:val="auto"/>
        </w:rPr>
        <w:t>students at the College</w:t>
      </w:r>
      <w:r w:rsidRPr="00C91BC7">
        <w:rPr>
          <w:rFonts w:ascii="Century Gothic" w:hAnsi="Century Gothic"/>
          <w:color w:val="auto"/>
        </w:rPr>
        <w:t xml:space="preserve"> for the purpose of giving them information about the provider’s education or training offer. This complies with the school’s legal obligations under Section 42B of the Education Act 1997. </w:t>
      </w:r>
    </w:p>
    <w:p w14:paraId="023E472C" w14:textId="77777777" w:rsidR="000E0AA9" w:rsidRPr="00C91BC7" w:rsidRDefault="000E0AA9" w:rsidP="002512F4">
      <w:pPr>
        <w:pStyle w:val="Default"/>
        <w:rPr>
          <w:rFonts w:ascii="Century Gothic" w:hAnsi="Century Gothic"/>
          <w:color w:val="auto"/>
        </w:rPr>
      </w:pPr>
    </w:p>
    <w:p w14:paraId="041DA3D9" w14:textId="49C3598D" w:rsidR="000E0AA9" w:rsidRPr="00C91BC7" w:rsidRDefault="000E0AA9" w:rsidP="002512F4">
      <w:pPr>
        <w:pStyle w:val="Default"/>
        <w:rPr>
          <w:rFonts w:ascii="Century Gothic" w:hAnsi="Century Gothic"/>
          <w:color w:val="auto"/>
        </w:rPr>
      </w:pPr>
      <w:r w:rsidRPr="00C91BC7">
        <w:rPr>
          <w:rFonts w:ascii="Century Gothic" w:hAnsi="Century Gothic"/>
          <w:color w:val="auto"/>
        </w:rPr>
        <w:t>High quality careers education and guidance in school/college is critical to a young peopl</w:t>
      </w:r>
      <w:r w:rsidR="004F19A4" w:rsidRPr="00C91BC7">
        <w:rPr>
          <w:rFonts w:ascii="Century Gothic" w:hAnsi="Century Gothic"/>
          <w:color w:val="auto"/>
        </w:rPr>
        <w:t>e’</w:t>
      </w:r>
      <w:r w:rsidRPr="00C91BC7">
        <w:rPr>
          <w:rFonts w:ascii="Century Gothic" w:hAnsi="Century Gothic"/>
          <w:color w:val="auto"/>
        </w:rPr>
        <w:t>s future</w:t>
      </w:r>
      <w:r w:rsidR="004F19A4" w:rsidRPr="00C91BC7">
        <w:rPr>
          <w:rFonts w:ascii="Century Gothic" w:hAnsi="Century Gothic"/>
          <w:color w:val="auto"/>
        </w:rPr>
        <w:t>s.  It helps them to prepare for the workplace by proving a clear understanding of the world of work</w:t>
      </w:r>
      <w:r w:rsidR="001038F4" w:rsidRPr="00C91BC7">
        <w:rPr>
          <w:rFonts w:ascii="Century Gothic" w:hAnsi="Century Gothic"/>
          <w:color w:val="auto"/>
        </w:rPr>
        <w:t xml:space="preserve"> including the routes to jobs and careers that they might find engaging and rewarding.  It supports them to acquire the self- development and career management skills</w:t>
      </w:r>
      <w:r w:rsidR="008D4F73" w:rsidRPr="00C91BC7">
        <w:rPr>
          <w:rFonts w:ascii="Century Gothic" w:hAnsi="Century Gothic"/>
          <w:color w:val="auto"/>
        </w:rPr>
        <w:t xml:space="preserve"> they need to achieve positive destinations</w:t>
      </w:r>
      <w:r w:rsidR="00FF7CDB" w:rsidRPr="00C91BC7">
        <w:rPr>
          <w:rFonts w:ascii="Century Gothic" w:hAnsi="Century Gothic"/>
          <w:color w:val="auto"/>
        </w:rPr>
        <w:t xml:space="preserve"> employment destinations.  This helps students to choose their </w:t>
      </w:r>
      <w:r w:rsidR="00BC6F49" w:rsidRPr="00C91BC7">
        <w:rPr>
          <w:rFonts w:ascii="Century Gothic" w:hAnsi="Century Gothic"/>
          <w:color w:val="auto"/>
        </w:rPr>
        <w:t>pathways, improve their life opportunities and contribute to a productive and successful econ</w:t>
      </w:r>
      <w:r w:rsidR="008E0BBF" w:rsidRPr="00C91BC7">
        <w:rPr>
          <w:rFonts w:ascii="Century Gothic" w:hAnsi="Century Gothic"/>
          <w:color w:val="auto"/>
        </w:rPr>
        <w:t>omy.</w:t>
      </w:r>
    </w:p>
    <w:p w14:paraId="787F8585" w14:textId="525591FB" w:rsidR="002512F4" w:rsidRPr="00C91BC7" w:rsidRDefault="002512F4" w:rsidP="002512F4">
      <w:pPr>
        <w:pStyle w:val="Default"/>
        <w:rPr>
          <w:rFonts w:ascii="Century Gothic" w:hAnsi="Century Gothic"/>
          <w:b/>
          <w:bCs/>
          <w:color w:val="auto"/>
        </w:rPr>
      </w:pPr>
    </w:p>
    <w:p w14:paraId="4F3235C7" w14:textId="36A26CE4" w:rsidR="002512F4" w:rsidRPr="00C91BC7" w:rsidRDefault="008E0BBF" w:rsidP="002512F4">
      <w:pPr>
        <w:pStyle w:val="Default"/>
        <w:rPr>
          <w:rFonts w:ascii="Century Gothic" w:hAnsi="Century Gothic"/>
          <w:color w:val="auto"/>
        </w:rPr>
      </w:pPr>
      <w:r w:rsidRPr="00C91BC7">
        <w:rPr>
          <w:rFonts w:ascii="Century Gothic" w:hAnsi="Century Gothic"/>
          <w:b/>
          <w:bCs/>
          <w:color w:val="auto"/>
        </w:rPr>
        <w:t>E</w:t>
      </w:r>
      <w:r w:rsidR="00362278" w:rsidRPr="00C91BC7">
        <w:rPr>
          <w:rFonts w:ascii="Century Gothic" w:hAnsi="Century Gothic"/>
          <w:b/>
          <w:bCs/>
          <w:color w:val="auto"/>
        </w:rPr>
        <w:t>ntitlement:</w:t>
      </w:r>
    </w:p>
    <w:p w14:paraId="5445F3E0" w14:textId="784A8586" w:rsidR="002512F4" w:rsidRPr="00C91BC7" w:rsidRDefault="002512F4" w:rsidP="002512F4">
      <w:pPr>
        <w:pStyle w:val="Default"/>
        <w:rPr>
          <w:rFonts w:ascii="Century Gothic" w:hAnsi="Century Gothic"/>
          <w:color w:val="auto"/>
        </w:rPr>
      </w:pPr>
      <w:r w:rsidRPr="00C91BC7">
        <w:rPr>
          <w:rFonts w:ascii="Century Gothic" w:hAnsi="Century Gothic"/>
          <w:color w:val="auto"/>
        </w:rPr>
        <w:t>All pupils</w:t>
      </w:r>
      <w:r w:rsidR="00362278" w:rsidRPr="00C91BC7">
        <w:rPr>
          <w:rFonts w:ascii="Century Gothic" w:hAnsi="Century Gothic"/>
          <w:color w:val="auto"/>
        </w:rPr>
        <w:t>/students</w:t>
      </w:r>
      <w:r w:rsidRPr="00C91BC7">
        <w:rPr>
          <w:rFonts w:ascii="Century Gothic" w:hAnsi="Century Gothic"/>
          <w:color w:val="auto"/>
        </w:rPr>
        <w:t xml:space="preserve"> in years 8-13 are entitled: </w:t>
      </w:r>
    </w:p>
    <w:p w14:paraId="1AA9B763" w14:textId="77777777" w:rsidR="002512F4" w:rsidRPr="00C91BC7" w:rsidRDefault="002512F4" w:rsidP="002512F4">
      <w:pPr>
        <w:pStyle w:val="Default"/>
        <w:numPr>
          <w:ilvl w:val="0"/>
          <w:numId w:val="1"/>
        </w:numPr>
        <w:spacing w:after="78"/>
        <w:rPr>
          <w:rFonts w:ascii="Century Gothic" w:hAnsi="Century Gothic"/>
          <w:color w:val="auto"/>
        </w:rPr>
      </w:pPr>
      <w:r w:rsidRPr="00C91BC7">
        <w:rPr>
          <w:rFonts w:ascii="Century Gothic" w:hAnsi="Century Gothic"/>
          <w:color w:val="auto"/>
        </w:rPr>
        <w:t xml:space="preserve">to find out about technical education qualifications and apprenticeships opportunities, as part of a careers programme which provides information on the full range of education and training options available at each transition </w:t>
      </w:r>
      <w:proofErr w:type="gramStart"/>
      <w:r w:rsidRPr="00C91BC7">
        <w:rPr>
          <w:rFonts w:ascii="Century Gothic" w:hAnsi="Century Gothic"/>
          <w:color w:val="auto"/>
        </w:rPr>
        <w:t>point;</w:t>
      </w:r>
      <w:proofErr w:type="gramEnd"/>
      <w:r w:rsidRPr="00C91BC7">
        <w:rPr>
          <w:rFonts w:ascii="Century Gothic" w:hAnsi="Century Gothic"/>
          <w:color w:val="auto"/>
        </w:rPr>
        <w:t xml:space="preserve"> </w:t>
      </w:r>
    </w:p>
    <w:p w14:paraId="7BED10BA" w14:textId="77777777" w:rsidR="002512F4" w:rsidRPr="00C91BC7" w:rsidRDefault="002512F4" w:rsidP="002512F4">
      <w:pPr>
        <w:pStyle w:val="Default"/>
        <w:numPr>
          <w:ilvl w:val="0"/>
          <w:numId w:val="1"/>
        </w:numPr>
        <w:spacing w:after="78"/>
        <w:rPr>
          <w:rFonts w:ascii="Century Gothic" w:hAnsi="Century Gothic"/>
          <w:color w:val="auto"/>
        </w:rPr>
      </w:pPr>
      <w:r w:rsidRPr="00C91BC7">
        <w:rPr>
          <w:rFonts w:ascii="Century Gothic" w:hAnsi="Century Gothic"/>
          <w:color w:val="auto"/>
        </w:rPr>
        <w:t xml:space="preserve">to hear from a range of local providers about the opportunities they offer, including technical education and apprenticeships – through options events, assemblies and group discussions and taster </w:t>
      </w:r>
      <w:proofErr w:type="gramStart"/>
      <w:r w:rsidRPr="00C91BC7">
        <w:rPr>
          <w:rFonts w:ascii="Century Gothic" w:hAnsi="Century Gothic"/>
          <w:color w:val="auto"/>
        </w:rPr>
        <w:t>events;</w:t>
      </w:r>
      <w:proofErr w:type="gramEnd"/>
      <w:r w:rsidRPr="00C91BC7">
        <w:rPr>
          <w:rFonts w:ascii="Century Gothic" w:hAnsi="Century Gothic"/>
          <w:color w:val="auto"/>
        </w:rPr>
        <w:t xml:space="preserve"> </w:t>
      </w:r>
    </w:p>
    <w:p w14:paraId="5C29BBA1" w14:textId="77777777" w:rsidR="00E82BDD" w:rsidRPr="00C91BC7" w:rsidRDefault="002512F4" w:rsidP="002512F4">
      <w:pPr>
        <w:pStyle w:val="Default"/>
        <w:numPr>
          <w:ilvl w:val="0"/>
          <w:numId w:val="1"/>
        </w:numPr>
        <w:rPr>
          <w:rFonts w:ascii="Century Gothic" w:hAnsi="Century Gothic"/>
          <w:color w:val="auto"/>
        </w:rPr>
      </w:pPr>
      <w:r w:rsidRPr="00C91BC7">
        <w:rPr>
          <w:rFonts w:ascii="Century Gothic" w:hAnsi="Century Gothic"/>
          <w:color w:val="auto"/>
        </w:rPr>
        <w:t>to understand how to make applications for the full range of academic and technical courses.</w:t>
      </w:r>
    </w:p>
    <w:p w14:paraId="50A79F83" w14:textId="25CA479B" w:rsidR="002512F4" w:rsidRPr="00C91BC7" w:rsidRDefault="002512F4" w:rsidP="00E82BDD">
      <w:pPr>
        <w:pStyle w:val="Default"/>
        <w:ind w:left="720"/>
        <w:rPr>
          <w:rFonts w:ascii="Century Gothic" w:hAnsi="Century Gothic"/>
          <w:color w:val="auto"/>
        </w:rPr>
      </w:pPr>
      <w:r w:rsidRPr="00C91BC7">
        <w:rPr>
          <w:rFonts w:ascii="Century Gothic" w:hAnsi="Century Gothic"/>
          <w:color w:val="auto"/>
        </w:rPr>
        <w:t xml:space="preserve"> </w:t>
      </w:r>
    </w:p>
    <w:p w14:paraId="780EAE46" w14:textId="735902A9" w:rsidR="00E82BDD" w:rsidRPr="00C91BC7" w:rsidRDefault="00E82BDD" w:rsidP="00E82BDD">
      <w:pPr>
        <w:rPr>
          <w:sz w:val="24"/>
          <w:szCs w:val="24"/>
        </w:rPr>
      </w:pPr>
      <w:r w:rsidRPr="00C91BC7">
        <w:rPr>
          <w:b/>
          <w:bCs/>
          <w:sz w:val="24"/>
          <w:szCs w:val="24"/>
        </w:rPr>
        <w:t>For pupils</w:t>
      </w:r>
      <w:r w:rsidR="00362278" w:rsidRPr="00C91BC7">
        <w:rPr>
          <w:b/>
          <w:bCs/>
          <w:sz w:val="24"/>
          <w:szCs w:val="24"/>
        </w:rPr>
        <w:t>/students</w:t>
      </w:r>
      <w:r w:rsidR="00265F8A" w:rsidRPr="00C91BC7">
        <w:rPr>
          <w:b/>
          <w:bCs/>
          <w:sz w:val="24"/>
          <w:szCs w:val="24"/>
        </w:rPr>
        <w:t>/</w:t>
      </w:r>
      <w:r w:rsidRPr="00C91BC7">
        <w:rPr>
          <w:b/>
          <w:bCs/>
          <w:sz w:val="24"/>
          <w:szCs w:val="24"/>
        </w:rPr>
        <w:t xml:space="preserve"> in the ‘third key phase’ (year 12 to 13), particularly those that have not yet decided on their next steps, there are two provider encounters available during this period, which are optional for pupils</w:t>
      </w:r>
      <w:r w:rsidR="00811A96" w:rsidRPr="00C91BC7">
        <w:rPr>
          <w:b/>
          <w:bCs/>
          <w:sz w:val="24"/>
          <w:szCs w:val="24"/>
        </w:rPr>
        <w:t>/students</w:t>
      </w:r>
      <w:r w:rsidRPr="00C91BC7">
        <w:rPr>
          <w:b/>
          <w:bCs/>
          <w:sz w:val="24"/>
          <w:szCs w:val="24"/>
        </w:rPr>
        <w:t xml:space="preserve"> to attend.</w:t>
      </w:r>
      <w:r w:rsidRPr="00C91BC7">
        <w:rPr>
          <w:sz w:val="24"/>
          <w:szCs w:val="24"/>
        </w:rPr>
        <w:t xml:space="preserve"> </w:t>
      </w:r>
    </w:p>
    <w:p w14:paraId="6640B7D3" w14:textId="2813BBB9" w:rsidR="00E82BDD" w:rsidRPr="00C91BC7" w:rsidRDefault="00E82BDD" w:rsidP="00E82BDD">
      <w:pPr>
        <w:rPr>
          <w:sz w:val="24"/>
          <w:szCs w:val="24"/>
        </w:rPr>
      </w:pPr>
      <w:r w:rsidRPr="00C91BC7">
        <w:rPr>
          <w:sz w:val="24"/>
          <w:szCs w:val="24"/>
        </w:rPr>
        <w:t>These provider encounters will be scheduled during the main school</w:t>
      </w:r>
      <w:r w:rsidR="00265F8A" w:rsidRPr="00C91BC7">
        <w:rPr>
          <w:sz w:val="24"/>
          <w:szCs w:val="24"/>
        </w:rPr>
        <w:t>/college</w:t>
      </w:r>
      <w:r w:rsidRPr="00C91BC7">
        <w:rPr>
          <w:sz w:val="24"/>
          <w:szCs w:val="24"/>
        </w:rPr>
        <w:t xml:space="preserve"> hours and the provider will be given a reasonable amount of time to, as a minimum: </w:t>
      </w:r>
    </w:p>
    <w:p w14:paraId="31FC7870" w14:textId="043461F8" w:rsidR="00E82BDD" w:rsidRPr="00C91BC7" w:rsidRDefault="00E82BDD" w:rsidP="00E82BDD">
      <w:pPr>
        <w:pStyle w:val="ListParagraph"/>
        <w:numPr>
          <w:ilvl w:val="0"/>
          <w:numId w:val="2"/>
        </w:numPr>
        <w:rPr>
          <w:sz w:val="24"/>
          <w:szCs w:val="24"/>
        </w:rPr>
      </w:pPr>
      <w:r w:rsidRPr="00C91BC7">
        <w:rPr>
          <w:sz w:val="24"/>
          <w:szCs w:val="24"/>
        </w:rPr>
        <w:t xml:space="preserve">share information about both the provider and the approved technical education qualification and apprenticeships that the provider </w:t>
      </w:r>
      <w:proofErr w:type="gramStart"/>
      <w:r w:rsidRPr="00C91BC7">
        <w:rPr>
          <w:sz w:val="24"/>
          <w:szCs w:val="24"/>
        </w:rPr>
        <w:t>offers;</w:t>
      </w:r>
      <w:proofErr w:type="gramEnd"/>
    </w:p>
    <w:p w14:paraId="32883AD1" w14:textId="2467823F" w:rsidR="00E82BDD" w:rsidRPr="00C91BC7" w:rsidRDefault="00E82BDD" w:rsidP="00E82BDD">
      <w:pPr>
        <w:pStyle w:val="ListParagraph"/>
        <w:numPr>
          <w:ilvl w:val="0"/>
          <w:numId w:val="2"/>
        </w:numPr>
        <w:rPr>
          <w:sz w:val="24"/>
          <w:szCs w:val="24"/>
        </w:rPr>
      </w:pPr>
      <w:r w:rsidRPr="00C91BC7">
        <w:rPr>
          <w:sz w:val="24"/>
          <w:szCs w:val="24"/>
        </w:rPr>
        <w:t xml:space="preserve">explain what career routes those options could lead </w:t>
      </w:r>
      <w:proofErr w:type="gramStart"/>
      <w:r w:rsidRPr="00C91BC7">
        <w:rPr>
          <w:sz w:val="24"/>
          <w:szCs w:val="24"/>
        </w:rPr>
        <w:t>to;</w:t>
      </w:r>
      <w:proofErr w:type="gramEnd"/>
    </w:p>
    <w:p w14:paraId="2F454303" w14:textId="2D50ABDB" w:rsidR="00E82BDD" w:rsidRPr="00C91BC7" w:rsidRDefault="00E82BDD" w:rsidP="00E82BDD">
      <w:pPr>
        <w:pStyle w:val="ListParagraph"/>
        <w:numPr>
          <w:ilvl w:val="0"/>
          <w:numId w:val="2"/>
        </w:numPr>
        <w:rPr>
          <w:sz w:val="24"/>
          <w:szCs w:val="24"/>
        </w:rPr>
      </w:pPr>
      <w:r w:rsidRPr="00C91BC7">
        <w:rPr>
          <w:sz w:val="24"/>
          <w:szCs w:val="24"/>
        </w:rPr>
        <w:lastRenderedPageBreak/>
        <w:t>provide insights into what it might be like to learn or train with that provider (including the opportunity to meet staff and pupils</w:t>
      </w:r>
      <w:r w:rsidR="00265F8A" w:rsidRPr="00C91BC7">
        <w:rPr>
          <w:sz w:val="24"/>
          <w:szCs w:val="24"/>
        </w:rPr>
        <w:t>/students</w:t>
      </w:r>
      <w:r w:rsidRPr="00C91BC7">
        <w:rPr>
          <w:sz w:val="24"/>
          <w:szCs w:val="24"/>
        </w:rPr>
        <w:t xml:space="preserve"> from the provider); and</w:t>
      </w:r>
    </w:p>
    <w:p w14:paraId="0F2890D3" w14:textId="15C6AF54" w:rsidR="00E82BDD" w:rsidRPr="00C91BC7" w:rsidRDefault="00E82BDD" w:rsidP="00E82BDD">
      <w:pPr>
        <w:pStyle w:val="ListParagraph"/>
        <w:numPr>
          <w:ilvl w:val="0"/>
          <w:numId w:val="2"/>
        </w:numPr>
        <w:rPr>
          <w:sz w:val="24"/>
          <w:szCs w:val="24"/>
        </w:rPr>
      </w:pPr>
      <w:r w:rsidRPr="00C91BC7">
        <w:rPr>
          <w:sz w:val="24"/>
          <w:szCs w:val="24"/>
        </w:rPr>
        <w:t>answer questions from pupils</w:t>
      </w:r>
      <w:r w:rsidR="00265F8A" w:rsidRPr="00C91BC7">
        <w:rPr>
          <w:sz w:val="24"/>
          <w:szCs w:val="24"/>
        </w:rPr>
        <w:t>/students</w:t>
      </w:r>
    </w:p>
    <w:p w14:paraId="038A92FC" w14:textId="4B4565BC" w:rsidR="00EE5C02" w:rsidRPr="00C91BC7" w:rsidRDefault="00EE5C02" w:rsidP="00E82BDD">
      <w:pPr>
        <w:pStyle w:val="ListParagraph"/>
        <w:numPr>
          <w:ilvl w:val="0"/>
          <w:numId w:val="2"/>
        </w:numPr>
        <w:rPr>
          <w:sz w:val="24"/>
          <w:szCs w:val="24"/>
        </w:rPr>
      </w:pPr>
      <w:r w:rsidRPr="00C91BC7">
        <w:rPr>
          <w:sz w:val="24"/>
          <w:szCs w:val="24"/>
        </w:rPr>
        <w:t>to reduce drop out from courses and avoid the risk of students becoming NEET (young people not in education and employment)</w:t>
      </w:r>
    </w:p>
    <w:p w14:paraId="6B92E9BE" w14:textId="29615341" w:rsidR="5E5DE0F5" w:rsidRPr="00C91BC7" w:rsidRDefault="5E5DE0F5" w:rsidP="5E5DE0F5">
      <w:pPr>
        <w:pStyle w:val="Default"/>
        <w:ind w:left="791"/>
        <w:rPr>
          <w:color w:val="auto"/>
        </w:rPr>
      </w:pPr>
    </w:p>
    <w:p w14:paraId="23D53240" w14:textId="77777777" w:rsidR="002512F4" w:rsidRPr="00C91BC7" w:rsidRDefault="002512F4" w:rsidP="002512F4">
      <w:pPr>
        <w:pStyle w:val="Default"/>
        <w:rPr>
          <w:rFonts w:ascii="Century Gothic" w:hAnsi="Century Gothic"/>
          <w:color w:val="auto"/>
        </w:rPr>
      </w:pPr>
      <w:r w:rsidRPr="00C91BC7">
        <w:rPr>
          <w:rFonts w:ascii="Century Gothic" w:hAnsi="Century Gothic"/>
          <w:b/>
          <w:bCs/>
          <w:color w:val="auto"/>
        </w:rPr>
        <w:t xml:space="preserve">Management of provider access requests procedure </w:t>
      </w:r>
    </w:p>
    <w:p w14:paraId="44F58AC1" w14:textId="179FEDA9" w:rsidR="001A6F05" w:rsidRDefault="790280CD" w:rsidP="5E5DE0F5">
      <w:pPr>
        <w:pStyle w:val="Default"/>
        <w:rPr>
          <w:rFonts w:ascii="Century Gothic" w:hAnsi="Century Gothic"/>
          <w:color w:val="auto"/>
        </w:rPr>
      </w:pPr>
      <w:r w:rsidRPr="3FA975A6">
        <w:rPr>
          <w:rFonts w:ascii="Century Gothic" w:hAnsi="Century Gothic"/>
          <w:color w:val="auto"/>
        </w:rPr>
        <w:t xml:space="preserve">A provider wishing to request access should contact </w:t>
      </w:r>
      <w:r w:rsidR="72B15B73" w:rsidRPr="3FA975A6">
        <w:rPr>
          <w:rFonts w:ascii="Century Gothic" w:hAnsi="Century Gothic"/>
          <w:color w:val="auto"/>
        </w:rPr>
        <w:t xml:space="preserve">Community </w:t>
      </w:r>
      <w:r w:rsidR="5AA68F6A" w:rsidRPr="3FA975A6">
        <w:rPr>
          <w:rFonts w:ascii="Century Gothic" w:hAnsi="Century Gothic"/>
          <w:color w:val="auto"/>
        </w:rPr>
        <w:t xml:space="preserve">Assistant Principal </w:t>
      </w:r>
      <w:r w:rsidR="5A1A56BC" w:rsidRPr="3FA975A6">
        <w:rPr>
          <w:rFonts w:ascii="Century Gothic" w:hAnsi="Century Gothic"/>
          <w:color w:val="auto"/>
        </w:rPr>
        <w:t>Kerry Reeves</w:t>
      </w:r>
      <w:r w:rsidR="31FA68AC" w:rsidRPr="3FA975A6">
        <w:rPr>
          <w:rFonts w:ascii="Century Gothic" w:hAnsi="Century Gothic"/>
          <w:color w:val="auto"/>
        </w:rPr>
        <w:t xml:space="preserve"> </w:t>
      </w:r>
      <w:hyperlink r:id="rId6">
        <w:r w:rsidR="56D07EDC" w:rsidRPr="3FA975A6">
          <w:rPr>
            <w:rStyle w:val="Hyperlink"/>
            <w:rFonts w:ascii="Century Gothic" w:hAnsi="Century Gothic"/>
          </w:rPr>
          <w:t>kreeves@gateway.ac.uk</w:t>
        </w:r>
      </w:hyperlink>
      <w:r w:rsidR="62E24056" w:rsidRPr="3FA975A6">
        <w:rPr>
          <w:rFonts w:ascii="Century Gothic" w:hAnsi="Century Gothic"/>
          <w:color w:val="auto"/>
        </w:rPr>
        <w:t xml:space="preserve"> and </w:t>
      </w:r>
      <w:r w:rsidR="411BB5F7" w:rsidRPr="3FA975A6">
        <w:rPr>
          <w:rFonts w:ascii="Century Gothic" w:hAnsi="Century Gothic"/>
          <w:color w:val="auto"/>
        </w:rPr>
        <w:t xml:space="preserve">Head of Careers, Employability and Progressions </w:t>
      </w:r>
      <w:hyperlink r:id="rId7">
        <w:r w:rsidR="411BB5F7" w:rsidRPr="3FA975A6">
          <w:rPr>
            <w:rStyle w:val="Hyperlink"/>
            <w:rFonts w:ascii="Century Gothic" w:hAnsi="Century Gothic"/>
          </w:rPr>
          <w:t>datwal@gateway.ac.uk</w:t>
        </w:r>
      </w:hyperlink>
    </w:p>
    <w:p w14:paraId="25D56FD4" w14:textId="423EA5E1" w:rsidR="00E82BDD" w:rsidRPr="00C91BC7" w:rsidRDefault="00E82BDD" w:rsidP="3FA975A6">
      <w:pPr>
        <w:pStyle w:val="Default"/>
        <w:rPr>
          <w:rFonts w:ascii="Century Gothic" w:hAnsi="Century Gothic"/>
          <w:color w:val="auto"/>
        </w:rPr>
      </w:pPr>
    </w:p>
    <w:p w14:paraId="71750DE1" w14:textId="77777777" w:rsidR="00E82BDD" w:rsidRPr="00C91BC7" w:rsidRDefault="00E82BDD" w:rsidP="00E82BDD">
      <w:pPr>
        <w:rPr>
          <w:sz w:val="24"/>
          <w:szCs w:val="24"/>
        </w:rPr>
      </w:pPr>
      <w:r w:rsidRPr="00C91BC7">
        <w:rPr>
          <w:sz w:val="24"/>
          <w:szCs w:val="24"/>
        </w:rPr>
        <w:t xml:space="preserve">The school reserves the right to decline requests for </w:t>
      </w:r>
      <w:proofErr w:type="gramStart"/>
      <w:r w:rsidRPr="00C91BC7">
        <w:rPr>
          <w:sz w:val="24"/>
          <w:szCs w:val="24"/>
        </w:rPr>
        <w:t>a number of</w:t>
      </w:r>
      <w:proofErr w:type="gramEnd"/>
      <w:r w:rsidRPr="00C91BC7">
        <w:rPr>
          <w:sz w:val="24"/>
          <w:szCs w:val="24"/>
        </w:rPr>
        <w:t xml:space="preserve"> reasons, including (but not restricted to) the following: </w:t>
      </w:r>
    </w:p>
    <w:p w14:paraId="32A25F1C" w14:textId="77777777" w:rsidR="00E82BDD" w:rsidRPr="00C91BC7" w:rsidRDefault="00E82BDD" w:rsidP="00E82BDD">
      <w:pPr>
        <w:pStyle w:val="ListParagraph"/>
        <w:numPr>
          <w:ilvl w:val="0"/>
          <w:numId w:val="3"/>
        </w:numPr>
        <w:rPr>
          <w:sz w:val="24"/>
          <w:szCs w:val="24"/>
        </w:rPr>
      </w:pPr>
      <w:r w:rsidRPr="00C91BC7">
        <w:rPr>
          <w:sz w:val="24"/>
          <w:szCs w:val="24"/>
        </w:rPr>
        <w:t>if such attendance would provide an imbalanced view of available provision (e.g. several apprenticeship providers at an event and no colleges</w:t>
      </w:r>
      <w:proofErr w:type="gramStart"/>
      <w:r w:rsidRPr="00C91BC7">
        <w:rPr>
          <w:sz w:val="24"/>
          <w:szCs w:val="24"/>
        </w:rPr>
        <w:t>);</w:t>
      </w:r>
      <w:proofErr w:type="gramEnd"/>
    </w:p>
    <w:p w14:paraId="1A277E14" w14:textId="77777777" w:rsidR="00E82BDD" w:rsidRPr="00C91BC7" w:rsidRDefault="00E82BDD" w:rsidP="00E82BDD">
      <w:pPr>
        <w:pStyle w:val="ListParagraph"/>
        <w:numPr>
          <w:ilvl w:val="0"/>
          <w:numId w:val="3"/>
        </w:numPr>
        <w:rPr>
          <w:sz w:val="24"/>
          <w:szCs w:val="24"/>
        </w:rPr>
      </w:pPr>
      <w:r w:rsidRPr="00C91BC7">
        <w:rPr>
          <w:sz w:val="24"/>
          <w:szCs w:val="24"/>
        </w:rPr>
        <w:t>if the provider’s input would not be relevant to a particular event if the request is not timely (e.g. students have already heard from similar providers during the year, or if they are involved in end of year exams</w:t>
      </w:r>
      <w:proofErr w:type="gramStart"/>
      <w:r w:rsidRPr="00C91BC7">
        <w:rPr>
          <w:sz w:val="24"/>
          <w:szCs w:val="24"/>
        </w:rPr>
        <w:t>);</w:t>
      </w:r>
      <w:proofErr w:type="gramEnd"/>
    </w:p>
    <w:p w14:paraId="781C94FC" w14:textId="7DE44686" w:rsidR="00E82BDD" w:rsidRPr="00C91BC7" w:rsidRDefault="00E82BDD" w:rsidP="00E82BDD">
      <w:pPr>
        <w:pStyle w:val="ListParagraph"/>
        <w:numPr>
          <w:ilvl w:val="0"/>
          <w:numId w:val="3"/>
        </w:numPr>
        <w:rPr>
          <w:sz w:val="24"/>
          <w:szCs w:val="24"/>
        </w:rPr>
      </w:pPr>
      <w:r w:rsidRPr="00C91BC7">
        <w:rPr>
          <w:sz w:val="24"/>
          <w:szCs w:val="24"/>
        </w:rPr>
        <w:t xml:space="preserve">if the information is not seen to be in the best interest of pupils or there are concerns about the ethics or quality of the provision. In such cases, </w:t>
      </w:r>
      <w:r w:rsidR="1199820B" w:rsidRPr="00C91BC7">
        <w:rPr>
          <w:sz w:val="24"/>
          <w:szCs w:val="24"/>
        </w:rPr>
        <w:t xml:space="preserve">the of </w:t>
      </w:r>
      <w:r w:rsidR="002E4AA9" w:rsidRPr="00C91BC7">
        <w:rPr>
          <w:sz w:val="24"/>
          <w:szCs w:val="24"/>
        </w:rPr>
        <w:t xml:space="preserve">Careers and Employability </w:t>
      </w:r>
      <w:r w:rsidRPr="00C91BC7">
        <w:rPr>
          <w:sz w:val="24"/>
          <w:szCs w:val="24"/>
        </w:rPr>
        <w:t>or the Careers Leader would inform the provider of this decision and the reason why. If the provider wishes to appeal this decision, they can contact the Head of S</w:t>
      </w:r>
      <w:r w:rsidR="4366188E" w:rsidRPr="00C91BC7">
        <w:rPr>
          <w:sz w:val="24"/>
          <w:szCs w:val="24"/>
        </w:rPr>
        <w:t>tudent Experience</w:t>
      </w:r>
      <w:r w:rsidRPr="00C91BC7">
        <w:rPr>
          <w:sz w:val="24"/>
          <w:szCs w:val="24"/>
        </w:rPr>
        <w:t>. If the provider wishes to appeal the decision received from the Head of S</w:t>
      </w:r>
      <w:r w:rsidR="268246EE" w:rsidRPr="00C91BC7">
        <w:rPr>
          <w:sz w:val="24"/>
          <w:szCs w:val="24"/>
        </w:rPr>
        <w:t>tudent Experience</w:t>
      </w:r>
      <w:r w:rsidRPr="00C91BC7">
        <w:rPr>
          <w:sz w:val="24"/>
          <w:szCs w:val="24"/>
        </w:rPr>
        <w:t>, they should contact the Chair of Governors at the school.</w:t>
      </w:r>
    </w:p>
    <w:p w14:paraId="15FF8FEB" w14:textId="05C471E3" w:rsidR="00254BEB" w:rsidRPr="00C91BC7" w:rsidRDefault="00787C6B" w:rsidP="00254BEB">
      <w:pPr>
        <w:rPr>
          <w:b/>
          <w:bCs/>
          <w:sz w:val="24"/>
          <w:szCs w:val="24"/>
        </w:rPr>
      </w:pPr>
      <w:r w:rsidRPr="00C91BC7">
        <w:rPr>
          <w:b/>
          <w:bCs/>
          <w:sz w:val="24"/>
          <w:szCs w:val="24"/>
        </w:rPr>
        <w:t>Details of premises or facilities to be provided by a person who is given access</w:t>
      </w:r>
    </w:p>
    <w:p w14:paraId="016157E0" w14:textId="3F09355E" w:rsidR="00E82BDD" w:rsidRPr="00C91BC7" w:rsidRDefault="00B65040" w:rsidP="00B65040">
      <w:pPr>
        <w:rPr>
          <w:sz w:val="24"/>
          <w:szCs w:val="24"/>
        </w:rPr>
      </w:pPr>
      <w:r w:rsidRPr="00C91BC7">
        <w:rPr>
          <w:sz w:val="24"/>
          <w:szCs w:val="24"/>
        </w:rPr>
        <w:t xml:space="preserve">We will provide an appropriate </w:t>
      </w:r>
      <w:r w:rsidR="00AF54AA" w:rsidRPr="00C91BC7">
        <w:rPr>
          <w:sz w:val="24"/>
          <w:szCs w:val="24"/>
        </w:rPr>
        <w:t>room</w:t>
      </w:r>
      <w:r w:rsidR="0055365F" w:rsidRPr="00C91BC7">
        <w:rPr>
          <w:sz w:val="24"/>
          <w:szCs w:val="24"/>
        </w:rPr>
        <w:t xml:space="preserve">, area or conference area to be agreed.  The Careers leader or advisor will </w:t>
      </w:r>
      <w:r w:rsidR="002A2D65" w:rsidRPr="00C91BC7">
        <w:rPr>
          <w:sz w:val="24"/>
          <w:szCs w:val="24"/>
        </w:rPr>
        <w:t>organise this, working closely with the provider to ensure the facilities are appropriate for the audience.  Appropriate safeguarding checks will be carried out</w:t>
      </w:r>
      <w:r w:rsidR="002760CD" w:rsidRPr="00C91BC7">
        <w:rPr>
          <w:sz w:val="24"/>
          <w:szCs w:val="24"/>
        </w:rPr>
        <w:t>.  Providers will be met and supervised a member of the Gateway Team.</w:t>
      </w:r>
    </w:p>
    <w:p w14:paraId="6687FD57" w14:textId="1D0C71A8" w:rsidR="00EA021D" w:rsidRPr="00C91BC7" w:rsidRDefault="00EA021D" w:rsidP="00B65040">
      <w:pPr>
        <w:rPr>
          <w:b/>
          <w:bCs/>
          <w:sz w:val="24"/>
          <w:szCs w:val="24"/>
        </w:rPr>
      </w:pPr>
      <w:r w:rsidRPr="00C91BC7">
        <w:rPr>
          <w:b/>
          <w:bCs/>
          <w:sz w:val="24"/>
          <w:szCs w:val="24"/>
        </w:rPr>
        <w:t>Live/virtual encounters</w:t>
      </w:r>
    </w:p>
    <w:p w14:paraId="68A7141B" w14:textId="38A7E3BD" w:rsidR="00EA021D" w:rsidRPr="00C91BC7" w:rsidRDefault="00E0400D" w:rsidP="00B65040">
      <w:pPr>
        <w:rPr>
          <w:sz w:val="24"/>
          <w:szCs w:val="24"/>
        </w:rPr>
      </w:pPr>
      <w:r w:rsidRPr="00C91BC7">
        <w:rPr>
          <w:sz w:val="24"/>
          <w:szCs w:val="24"/>
        </w:rPr>
        <w:t xml:space="preserve">We will consider live online encounters with providers as requested, and these may be broadcast </w:t>
      </w:r>
      <w:r w:rsidR="007A7BE3" w:rsidRPr="00C91BC7">
        <w:rPr>
          <w:sz w:val="24"/>
          <w:szCs w:val="24"/>
        </w:rPr>
        <w:t>into classrooms.  Technology checks in advance will be required to ensure compatibility of systems.</w:t>
      </w:r>
    </w:p>
    <w:p w14:paraId="314FD839" w14:textId="042E2746" w:rsidR="0041523B" w:rsidRPr="00C91BC7" w:rsidRDefault="00A95660" w:rsidP="00B65040">
      <w:pPr>
        <w:rPr>
          <w:b/>
          <w:bCs/>
          <w:sz w:val="24"/>
          <w:szCs w:val="24"/>
        </w:rPr>
      </w:pPr>
      <w:r w:rsidRPr="00C91BC7">
        <w:rPr>
          <w:b/>
          <w:bCs/>
          <w:sz w:val="24"/>
          <w:szCs w:val="24"/>
        </w:rPr>
        <w:t>Parents and Carers</w:t>
      </w:r>
    </w:p>
    <w:p w14:paraId="371A899A" w14:textId="1DB7EFE9" w:rsidR="00A95660" w:rsidRPr="00C91BC7" w:rsidRDefault="00A95660" w:rsidP="00B65040">
      <w:pPr>
        <w:rPr>
          <w:sz w:val="24"/>
          <w:szCs w:val="24"/>
        </w:rPr>
      </w:pPr>
      <w:r w:rsidRPr="00C91BC7">
        <w:rPr>
          <w:sz w:val="24"/>
          <w:szCs w:val="24"/>
        </w:rPr>
        <w:lastRenderedPageBreak/>
        <w:t xml:space="preserve">Parental involvement is </w:t>
      </w:r>
      <w:proofErr w:type="gramStart"/>
      <w:r w:rsidRPr="00C91BC7">
        <w:rPr>
          <w:sz w:val="24"/>
          <w:szCs w:val="24"/>
        </w:rPr>
        <w:t>encouraged</w:t>
      </w:r>
      <w:proofErr w:type="gramEnd"/>
      <w:r w:rsidRPr="00C91BC7">
        <w:rPr>
          <w:sz w:val="24"/>
          <w:szCs w:val="24"/>
        </w:rPr>
        <w:t xml:space="preserve"> and parents may be invited to attend </w:t>
      </w:r>
      <w:r w:rsidR="009E762D" w:rsidRPr="00C91BC7">
        <w:rPr>
          <w:sz w:val="24"/>
          <w:szCs w:val="24"/>
        </w:rPr>
        <w:t>events to meet th</w:t>
      </w:r>
      <w:r w:rsidR="00004D04" w:rsidRPr="00C91BC7">
        <w:rPr>
          <w:sz w:val="24"/>
          <w:szCs w:val="24"/>
        </w:rPr>
        <w:t>e providers as appropriate.</w:t>
      </w:r>
    </w:p>
    <w:p w14:paraId="59AC4EF7" w14:textId="77777777" w:rsidR="00A95660" w:rsidRPr="00C91BC7" w:rsidRDefault="00A95660" w:rsidP="00B65040">
      <w:pPr>
        <w:rPr>
          <w:sz w:val="24"/>
          <w:szCs w:val="24"/>
        </w:rPr>
      </w:pPr>
    </w:p>
    <w:p w14:paraId="7CE52088" w14:textId="77777777" w:rsidR="00E82BDD" w:rsidRPr="00C91BC7" w:rsidRDefault="00E82BDD" w:rsidP="00E82BDD">
      <w:pPr>
        <w:rPr>
          <w:sz w:val="24"/>
          <w:szCs w:val="24"/>
        </w:rPr>
      </w:pPr>
      <w:r w:rsidRPr="00C91BC7">
        <w:rPr>
          <w:b/>
          <w:bCs/>
          <w:sz w:val="24"/>
          <w:szCs w:val="24"/>
        </w:rPr>
        <w:t>Complaints</w:t>
      </w:r>
      <w:r w:rsidRPr="00C91BC7">
        <w:rPr>
          <w:sz w:val="24"/>
          <w:szCs w:val="24"/>
        </w:rPr>
        <w:t xml:space="preserve"> </w:t>
      </w:r>
    </w:p>
    <w:p w14:paraId="7D1DEF9F" w14:textId="0E74CCAC" w:rsidR="00E82BDD" w:rsidRPr="00C91BC7" w:rsidRDefault="00E82BDD" w:rsidP="00E82BDD">
      <w:pPr>
        <w:rPr>
          <w:rStyle w:val="Hyperlink"/>
          <w:rFonts w:cstheme="minorHAnsi"/>
          <w:color w:val="auto"/>
          <w:sz w:val="24"/>
          <w:szCs w:val="24"/>
        </w:rPr>
      </w:pPr>
      <w:r w:rsidRPr="00C91BC7">
        <w:rPr>
          <w:sz w:val="24"/>
          <w:szCs w:val="24"/>
        </w:rPr>
        <w:t xml:space="preserve">Any complaints with regards to provider access can be raised following the school complaints procedure or directly with The Careers &amp; Enterprise Company via </w:t>
      </w:r>
      <w:hyperlink r:id="rId8" w:history="1">
        <w:r w:rsidRPr="00C91BC7">
          <w:rPr>
            <w:rStyle w:val="Hyperlink"/>
            <w:rFonts w:cstheme="minorHAnsi"/>
            <w:color w:val="auto"/>
            <w:sz w:val="24"/>
            <w:szCs w:val="24"/>
          </w:rPr>
          <w:t>provideraccess@careersandenterprise.co.uk</w:t>
        </w:r>
      </w:hyperlink>
      <w:r w:rsidRPr="00C91BC7">
        <w:rPr>
          <w:rStyle w:val="Hyperlink"/>
          <w:rFonts w:cstheme="minorHAnsi"/>
          <w:color w:val="auto"/>
          <w:sz w:val="24"/>
          <w:szCs w:val="24"/>
        </w:rPr>
        <w:t>.</w:t>
      </w:r>
    </w:p>
    <w:p w14:paraId="04A3BB1F" w14:textId="7EC9662A" w:rsidR="00E82BDD" w:rsidRPr="00C91BC7" w:rsidRDefault="00E82BDD" w:rsidP="5E5DE0F5">
      <w:pPr>
        <w:pStyle w:val="Default"/>
        <w:rPr>
          <w:rFonts w:cstheme="minorBidi"/>
          <w:color w:val="auto"/>
        </w:rPr>
      </w:pPr>
    </w:p>
    <w:p w14:paraId="33573CBF" w14:textId="6345B7A9" w:rsidR="00E82BDD" w:rsidRPr="00C91BC7" w:rsidRDefault="00E82BDD" w:rsidP="00E82BDD">
      <w:pPr>
        <w:pStyle w:val="Default"/>
        <w:rPr>
          <w:rFonts w:ascii="Century Gothic" w:hAnsi="Century Gothic" w:cs="Calibri"/>
          <w:b/>
          <w:bCs/>
          <w:color w:val="auto"/>
        </w:rPr>
      </w:pPr>
      <w:r w:rsidRPr="00C91BC7">
        <w:rPr>
          <w:rFonts w:ascii="Century Gothic" w:hAnsi="Century Gothic" w:cs="Calibri"/>
          <w:b/>
          <w:bCs/>
          <w:color w:val="auto"/>
        </w:rPr>
        <w:t xml:space="preserve">Approval and review </w:t>
      </w:r>
    </w:p>
    <w:p w14:paraId="34C24018" w14:textId="77777777" w:rsidR="00E82BDD" w:rsidRPr="00C91BC7" w:rsidRDefault="00E82BDD" w:rsidP="00E82BDD">
      <w:pPr>
        <w:pStyle w:val="Default"/>
        <w:rPr>
          <w:rFonts w:ascii="Century Gothic" w:hAnsi="Century Gothic"/>
          <w:b/>
          <w:bCs/>
          <w:color w:val="auto"/>
        </w:rPr>
      </w:pPr>
    </w:p>
    <w:p w14:paraId="1B21AC9B" w14:textId="77777777" w:rsidR="00E82BDD" w:rsidRPr="00C91BC7" w:rsidRDefault="00E82BDD" w:rsidP="00E82BDD">
      <w:pPr>
        <w:rPr>
          <w:sz w:val="24"/>
          <w:szCs w:val="24"/>
        </w:rPr>
      </w:pPr>
      <w:r w:rsidRPr="00C91BC7">
        <w:rPr>
          <w:sz w:val="24"/>
          <w:szCs w:val="24"/>
        </w:rPr>
        <w:t xml:space="preserve">This policy will be monitored and reviewed on an annual basis, to ensure that current legislation and best practice is recorded. </w:t>
      </w:r>
    </w:p>
    <w:p w14:paraId="75E763E6" w14:textId="77777777" w:rsidR="00E82BDD" w:rsidRPr="00C91BC7" w:rsidRDefault="00E82BDD" w:rsidP="00E82BDD">
      <w:pPr>
        <w:pStyle w:val="Default"/>
        <w:rPr>
          <w:rFonts w:ascii="Century Gothic" w:hAnsi="Century Gothic"/>
          <w:color w:val="auto"/>
        </w:rPr>
      </w:pPr>
    </w:p>
    <w:p w14:paraId="48F06FD8" w14:textId="13814630" w:rsidR="00E82BDD" w:rsidRPr="00C91BC7" w:rsidRDefault="00E82BDD" w:rsidP="5E5DE0F5">
      <w:pPr>
        <w:pStyle w:val="Default"/>
        <w:rPr>
          <w:rFonts w:ascii="Century Gothic" w:hAnsi="Century Gothic" w:cstheme="minorBidi"/>
          <w:color w:val="auto"/>
        </w:rPr>
      </w:pPr>
      <w:r w:rsidRPr="00C91BC7">
        <w:rPr>
          <w:rFonts w:ascii="Century Gothic" w:hAnsi="Century Gothic" w:cstheme="minorBidi"/>
          <w:color w:val="auto"/>
        </w:rPr>
        <w:t xml:space="preserve">Approved </w:t>
      </w:r>
    </w:p>
    <w:p w14:paraId="4AFF884F" w14:textId="77777777" w:rsidR="00E82BDD" w:rsidRPr="00C91BC7" w:rsidRDefault="00E82BDD" w:rsidP="00E82BDD">
      <w:pPr>
        <w:pStyle w:val="Default"/>
        <w:rPr>
          <w:rFonts w:ascii="Century Gothic" w:hAnsi="Century Gothic" w:cstheme="minorBidi"/>
          <w:color w:val="auto"/>
        </w:rPr>
      </w:pPr>
    </w:p>
    <w:p w14:paraId="481D2C8B" w14:textId="3D4ABEB9" w:rsidR="00E82BDD" w:rsidRPr="00C91BC7" w:rsidRDefault="2CAD12D0" w:rsidP="3FA975A6">
      <w:pPr>
        <w:pStyle w:val="Default"/>
        <w:numPr>
          <w:ilvl w:val="0"/>
          <w:numId w:val="4"/>
        </w:numPr>
        <w:spacing w:line="360" w:lineRule="auto"/>
        <w:rPr>
          <w:rFonts w:ascii="Century Gothic" w:hAnsi="Century Gothic" w:cstheme="minorBidi"/>
          <w:color w:val="auto"/>
        </w:rPr>
      </w:pPr>
      <w:r w:rsidRPr="3FA975A6">
        <w:rPr>
          <w:rFonts w:ascii="Century Gothic" w:hAnsi="Century Gothic" w:cstheme="minorBidi"/>
          <w:b/>
          <w:bCs/>
          <w:color w:val="auto"/>
        </w:rPr>
        <w:t>Next review:</w:t>
      </w:r>
      <w:r w:rsidRPr="3FA975A6">
        <w:rPr>
          <w:rFonts w:ascii="Century Gothic" w:hAnsi="Century Gothic" w:cstheme="minorBidi"/>
          <w:color w:val="auto"/>
        </w:rPr>
        <w:t xml:space="preserve"> </w:t>
      </w:r>
      <w:r w:rsidR="3B22D3E4" w:rsidRPr="3FA975A6">
        <w:rPr>
          <w:rFonts w:ascii="Century Gothic" w:hAnsi="Century Gothic" w:cstheme="minorBidi"/>
          <w:color w:val="auto"/>
        </w:rPr>
        <w:t>Ju</w:t>
      </w:r>
      <w:r w:rsidR="0C0DFF10" w:rsidRPr="3FA975A6">
        <w:rPr>
          <w:rFonts w:ascii="Century Gothic" w:hAnsi="Century Gothic" w:cstheme="minorBidi"/>
          <w:color w:val="auto"/>
        </w:rPr>
        <w:t>ly</w:t>
      </w:r>
      <w:r w:rsidR="3B22D3E4" w:rsidRPr="3FA975A6">
        <w:rPr>
          <w:rFonts w:ascii="Century Gothic" w:hAnsi="Century Gothic" w:cstheme="minorBidi"/>
          <w:color w:val="auto"/>
        </w:rPr>
        <w:t xml:space="preserve"> 202</w:t>
      </w:r>
      <w:r w:rsidR="0AF91F73" w:rsidRPr="3FA975A6">
        <w:rPr>
          <w:rFonts w:ascii="Century Gothic" w:hAnsi="Century Gothic" w:cstheme="minorBidi"/>
          <w:color w:val="auto"/>
        </w:rPr>
        <w:t>6</w:t>
      </w:r>
    </w:p>
    <w:p w14:paraId="2242B547" w14:textId="5B11055B" w:rsidR="00E82BDD" w:rsidRPr="00C91BC7" w:rsidRDefault="00503B9A" w:rsidP="00E82BDD">
      <w:pPr>
        <w:pStyle w:val="Default"/>
        <w:numPr>
          <w:ilvl w:val="0"/>
          <w:numId w:val="4"/>
        </w:numPr>
        <w:spacing w:line="360" w:lineRule="auto"/>
        <w:rPr>
          <w:rFonts w:ascii="Century Gothic" w:hAnsi="Century Gothic" w:cs="Calibri"/>
          <w:color w:val="auto"/>
        </w:rPr>
      </w:pPr>
      <w:r w:rsidRPr="00C91BC7">
        <w:rPr>
          <w:rFonts w:ascii="Century Gothic" w:hAnsi="Century Gothic" w:cs="Calibri"/>
          <w:b/>
          <w:bCs/>
          <w:color w:val="auto"/>
        </w:rPr>
        <w:t>PRINCIPAL</w:t>
      </w:r>
      <w:r w:rsidR="00E82BDD" w:rsidRPr="00C91BC7">
        <w:rPr>
          <w:rFonts w:ascii="Century Gothic" w:hAnsi="Century Gothic" w:cs="Calibri"/>
          <w:b/>
          <w:bCs/>
          <w:color w:val="auto"/>
        </w:rPr>
        <w:t xml:space="preserve">: </w:t>
      </w:r>
      <w:r w:rsidR="001A6F05" w:rsidRPr="00C91BC7">
        <w:rPr>
          <w:rFonts w:ascii="Century Gothic" w:hAnsi="Century Gothic" w:cs="Calibri"/>
          <w:color w:val="auto"/>
        </w:rPr>
        <w:t>James Bagley</w:t>
      </w:r>
    </w:p>
    <w:p w14:paraId="72CB0468" w14:textId="77777777" w:rsidR="00E82BDD" w:rsidRPr="00C91BC7" w:rsidRDefault="00E82BDD" w:rsidP="005C3D7B">
      <w:pPr>
        <w:pStyle w:val="Default"/>
        <w:rPr>
          <w:rFonts w:ascii="Century Gothic" w:hAnsi="Century Gothic"/>
          <w:color w:val="auto"/>
        </w:rPr>
      </w:pPr>
    </w:p>
    <w:sectPr w:rsidR="00E82BDD" w:rsidRPr="00C91B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66F7"/>
    <w:multiLevelType w:val="hybridMultilevel"/>
    <w:tmpl w:val="8122901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E1EA7"/>
    <w:multiLevelType w:val="hybridMultilevel"/>
    <w:tmpl w:val="30160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40CA9"/>
    <w:multiLevelType w:val="hybridMultilevel"/>
    <w:tmpl w:val="F382836A"/>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3" w15:restartNumberingAfterBreak="0">
    <w:nsid w:val="7CB50D40"/>
    <w:multiLevelType w:val="hybridMultilevel"/>
    <w:tmpl w:val="57B64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2296387">
    <w:abstractNumId w:val="0"/>
  </w:num>
  <w:num w:numId="2" w16cid:durableId="1467772277">
    <w:abstractNumId w:val="2"/>
  </w:num>
  <w:num w:numId="3" w16cid:durableId="2051569595">
    <w:abstractNumId w:val="3"/>
  </w:num>
  <w:num w:numId="4" w16cid:durableId="1131946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F4"/>
    <w:rsid w:val="00004D04"/>
    <w:rsid w:val="00054C99"/>
    <w:rsid w:val="000E0AA9"/>
    <w:rsid w:val="000F1E2B"/>
    <w:rsid w:val="001038F4"/>
    <w:rsid w:val="001852B1"/>
    <w:rsid w:val="001A6F05"/>
    <w:rsid w:val="001E7702"/>
    <w:rsid w:val="002512F4"/>
    <w:rsid w:val="00254BEB"/>
    <w:rsid w:val="00265F8A"/>
    <w:rsid w:val="002760CD"/>
    <w:rsid w:val="00287F91"/>
    <w:rsid w:val="002A2D65"/>
    <w:rsid w:val="002E3D70"/>
    <w:rsid w:val="002E4AA9"/>
    <w:rsid w:val="00353646"/>
    <w:rsid w:val="00362278"/>
    <w:rsid w:val="0041523B"/>
    <w:rsid w:val="004256D4"/>
    <w:rsid w:val="004C26D2"/>
    <w:rsid w:val="004E08DB"/>
    <w:rsid w:val="004F19A4"/>
    <w:rsid w:val="00503B9A"/>
    <w:rsid w:val="005265A2"/>
    <w:rsid w:val="0055365F"/>
    <w:rsid w:val="0055707C"/>
    <w:rsid w:val="0058088B"/>
    <w:rsid w:val="005A1A41"/>
    <w:rsid w:val="005A537E"/>
    <w:rsid w:val="005C3D7B"/>
    <w:rsid w:val="005D511B"/>
    <w:rsid w:val="006C49E3"/>
    <w:rsid w:val="007721DA"/>
    <w:rsid w:val="00787C6B"/>
    <w:rsid w:val="007A7BE3"/>
    <w:rsid w:val="00811A96"/>
    <w:rsid w:val="008443A4"/>
    <w:rsid w:val="008D4F73"/>
    <w:rsid w:val="008E0BBF"/>
    <w:rsid w:val="00954696"/>
    <w:rsid w:val="009A0336"/>
    <w:rsid w:val="009E762D"/>
    <w:rsid w:val="00A00192"/>
    <w:rsid w:val="00A00CEC"/>
    <w:rsid w:val="00A40336"/>
    <w:rsid w:val="00A505DE"/>
    <w:rsid w:val="00A6345F"/>
    <w:rsid w:val="00A95660"/>
    <w:rsid w:val="00AA3321"/>
    <w:rsid w:val="00AF54AA"/>
    <w:rsid w:val="00B65040"/>
    <w:rsid w:val="00BC6F49"/>
    <w:rsid w:val="00C6501F"/>
    <w:rsid w:val="00C91BC7"/>
    <w:rsid w:val="00D47D7A"/>
    <w:rsid w:val="00DF4BDE"/>
    <w:rsid w:val="00E0400D"/>
    <w:rsid w:val="00E364B2"/>
    <w:rsid w:val="00E82BDD"/>
    <w:rsid w:val="00EA021D"/>
    <w:rsid w:val="00EE5C02"/>
    <w:rsid w:val="00FF7CDB"/>
    <w:rsid w:val="044ACAED"/>
    <w:rsid w:val="0AF91F73"/>
    <w:rsid w:val="0C0DFF10"/>
    <w:rsid w:val="10DA23EF"/>
    <w:rsid w:val="1199820B"/>
    <w:rsid w:val="12673424"/>
    <w:rsid w:val="1294114E"/>
    <w:rsid w:val="141FF69D"/>
    <w:rsid w:val="1D64EE6B"/>
    <w:rsid w:val="1D7165D3"/>
    <w:rsid w:val="24F7D86A"/>
    <w:rsid w:val="268246EE"/>
    <w:rsid w:val="26AA002D"/>
    <w:rsid w:val="2CAD12D0"/>
    <w:rsid w:val="3054A983"/>
    <w:rsid w:val="31FA68AC"/>
    <w:rsid w:val="3537BF0C"/>
    <w:rsid w:val="3B22D3E4"/>
    <w:rsid w:val="3B6D4DD6"/>
    <w:rsid w:val="3D09E749"/>
    <w:rsid w:val="3EA4EE98"/>
    <w:rsid w:val="3FA975A6"/>
    <w:rsid w:val="3FD78159"/>
    <w:rsid w:val="411BB5F7"/>
    <w:rsid w:val="422390DF"/>
    <w:rsid w:val="4366188E"/>
    <w:rsid w:val="4ADB6432"/>
    <w:rsid w:val="5409E75B"/>
    <w:rsid w:val="54710FF4"/>
    <w:rsid w:val="56D07EDC"/>
    <w:rsid w:val="59A3B692"/>
    <w:rsid w:val="5A1A56BC"/>
    <w:rsid w:val="5AA68F6A"/>
    <w:rsid w:val="5E5DE0F5"/>
    <w:rsid w:val="5F71B0CF"/>
    <w:rsid w:val="62E24056"/>
    <w:rsid w:val="63AFFF31"/>
    <w:rsid w:val="67DD61BC"/>
    <w:rsid w:val="6EDE0CA5"/>
    <w:rsid w:val="703EFB9D"/>
    <w:rsid w:val="704808A3"/>
    <w:rsid w:val="7138D056"/>
    <w:rsid w:val="72B15B73"/>
    <w:rsid w:val="73CC03FA"/>
    <w:rsid w:val="755E363F"/>
    <w:rsid w:val="79028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3" type="connector" idref="#_x0000_s1031"/>
        <o:r id="V:Rule4" type="connector" idref="#_x0000_s1030"/>
      </o:rules>
    </o:shapelayout>
  </w:shapeDefaults>
  <w:decimalSymbol w:val="."/>
  <w:listSeparator w:val=","/>
  <w14:docId w14:val="0F5E20C5"/>
  <w15:chartTrackingRefBased/>
  <w15:docId w15:val="{BF690478-F632-4CE8-B906-1EBA4EE3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12F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512F4"/>
    <w:rPr>
      <w:color w:val="0563C1" w:themeColor="hyperlink"/>
      <w:u w:val="single"/>
    </w:rPr>
  </w:style>
  <w:style w:type="paragraph" w:styleId="ListParagraph">
    <w:name w:val="List Paragraph"/>
    <w:basedOn w:val="Normal"/>
    <w:uiPriority w:val="34"/>
    <w:qFormat/>
    <w:rsid w:val="00E82BDD"/>
    <w:pPr>
      <w:ind w:left="720"/>
      <w:contextualSpacing/>
    </w:pPr>
  </w:style>
  <w:style w:type="paragraph" w:styleId="BodyText">
    <w:name w:val="Body Text"/>
    <w:basedOn w:val="Normal"/>
    <w:link w:val="BodyTextChar"/>
    <w:rsid w:val="001A6F05"/>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72"/>
      <w:szCs w:val="20"/>
    </w:rPr>
  </w:style>
  <w:style w:type="character" w:customStyle="1" w:styleId="BodyTextChar">
    <w:name w:val="Body Text Char"/>
    <w:basedOn w:val="DefaultParagraphFont"/>
    <w:link w:val="BodyText"/>
    <w:rsid w:val="001A6F05"/>
    <w:rPr>
      <w:rFonts w:ascii="Times New Roman" w:eastAsia="Times New Roman" w:hAnsi="Times New Roman" w:cs="Times New Roman"/>
      <w:b/>
      <w:sz w:val="72"/>
      <w:szCs w:val="20"/>
    </w:rPr>
  </w:style>
  <w:style w:type="character" w:styleId="UnresolvedMention">
    <w:name w:val="Unresolved Mention"/>
    <w:basedOn w:val="DefaultParagraphFont"/>
    <w:uiPriority w:val="99"/>
    <w:semiHidden/>
    <w:unhideWhenUsed/>
    <w:rsid w:val="00580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ideraccess@careersandenterprise.co.uk"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datwal@gateway.ac.u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eeves@gateway.ac.uk"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C95C65CE3534C9DC7FB3BE1A415CD" ma:contentTypeVersion="13" ma:contentTypeDescription="Create a new document." ma:contentTypeScope="" ma:versionID="da5d6ec42742cf24302e36a16723acc0">
  <xsd:schema xmlns:xsd="http://www.w3.org/2001/XMLSchema" xmlns:xs="http://www.w3.org/2001/XMLSchema" xmlns:p="http://schemas.microsoft.com/office/2006/metadata/properties" xmlns:ns2="aa012626-4fe3-41a0-896e-05c5bb26516a" xmlns:ns3="b517e57a-bb7d-483f-9ace-1113353df742" targetNamespace="http://schemas.microsoft.com/office/2006/metadata/properties" ma:root="true" ma:fieldsID="7d5fbff728e622097fedda88aaa73ee4" ns2:_="" ns3:_="">
    <xsd:import namespace="aa012626-4fe3-41a0-896e-05c5bb26516a"/>
    <xsd:import namespace="b517e57a-bb7d-483f-9ace-1113353df7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12626-4fe3-41a0-896e-05c5bb265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606c46-ef78-496a-94d7-fc8afbe49b9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17e57a-bb7d-483f-9ace-1113353df74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74c7549-b5d6-439c-940b-535baf298761}" ma:internalName="TaxCatchAll" ma:showField="CatchAllData" ma:web="b517e57a-bb7d-483f-9ace-1113353df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012626-4fe3-41a0-896e-05c5bb26516a">
      <Terms xmlns="http://schemas.microsoft.com/office/infopath/2007/PartnerControls"/>
    </lcf76f155ced4ddcb4097134ff3c332f>
    <TaxCatchAll xmlns="b517e57a-bb7d-483f-9ace-1113353df742" xsi:nil="true"/>
  </documentManagement>
</p:properties>
</file>

<file path=customXml/itemProps1.xml><?xml version="1.0" encoding="utf-8"?>
<ds:datastoreItem xmlns:ds="http://schemas.openxmlformats.org/officeDocument/2006/customXml" ds:itemID="{1E4CD914-5B3F-42A5-BA6C-78B7263D0AD9}"/>
</file>

<file path=customXml/itemProps2.xml><?xml version="1.0" encoding="utf-8"?>
<ds:datastoreItem xmlns:ds="http://schemas.openxmlformats.org/officeDocument/2006/customXml" ds:itemID="{8B1CCE52-3BD0-4F25-89DA-6C310BD6E725}"/>
</file>

<file path=customXml/itemProps3.xml><?xml version="1.0" encoding="utf-8"?>
<ds:datastoreItem xmlns:ds="http://schemas.openxmlformats.org/officeDocument/2006/customXml" ds:itemID="{EAFFA771-FA5C-4963-AC16-8F0DC94577ED}"/>
</file>

<file path=docProps/app.xml><?xml version="1.0" encoding="utf-8"?>
<Properties xmlns="http://schemas.openxmlformats.org/officeDocument/2006/extended-properties" xmlns:vt="http://schemas.openxmlformats.org/officeDocument/2006/docPropsVTypes">
  <Template>Normal</Template>
  <TotalTime>2</TotalTime>
  <Pages>4</Pages>
  <Words>782</Words>
  <Characters>4459</Characters>
  <Application>Microsoft Office Word</Application>
  <DocSecurity>0</DocSecurity>
  <Lines>37</Lines>
  <Paragraphs>10</Paragraphs>
  <ScaleCrop>false</ScaleCrop>
  <Company>Gateway College</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Spencer</dc:creator>
  <cp:keywords/>
  <dc:description/>
  <cp:lastModifiedBy>Daisy Atwal</cp:lastModifiedBy>
  <cp:revision>2</cp:revision>
  <cp:lastPrinted>2023-08-16T11:43:00Z</cp:lastPrinted>
  <dcterms:created xsi:type="dcterms:W3CDTF">2025-07-08T08:10:00Z</dcterms:created>
  <dcterms:modified xsi:type="dcterms:W3CDTF">2025-07-08T08:10:00Z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0x010100956C95C65CE3534C9DC7FB3BE1A415CD</vt:lpwstr>
  </property>
</Properties>
</file>